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0012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C16416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ORGANISATIONS- UND KONTROLLMODELL </w:t>
      </w:r>
    </w:p>
    <w:p w14:paraId="009690CE" w14:textId="0223C328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C16416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DER A.S.D. </w:t>
      </w:r>
      <w:r w:rsidRPr="00C16416">
        <w:rPr>
          <w:rFonts w:ascii="Arial" w:hAnsi="Arial" w:cs="Arial"/>
          <w:b/>
          <w:bCs/>
          <w:kern w:val="0"/>
          <w:sz w:val="28"/>
          <w:szCs w:val="28"/>
          <w:lang w:val="en-US"/>
        </w:rPr>
        <w:t>SPORT PROMOTION BOLZANO</w:t>
      </w:r>
    </w:p>
    <w:p w14:paraId="2B3DCF48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7D45C995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Vorwort</w:t>
      </w:r>
      <w:proofErr w:type="spellEnd"/>
    </w:p>
    <w:p w14:paraId="795348F5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Das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vorliegende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Organisations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-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Kontrollmodell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(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im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Folgenden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„Modell“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genannt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)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wurde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erstellt</w:t>
      </w:r>
      <w:proofErr w:type="spellEnd"/>
    </w:p>
    <w:p w14:paraId="0B22CFED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von der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Amateursportvereinigung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Sport Promotion Bolzano in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Übereinstimmung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dem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Gesetzesdekret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Nr. 39/2021 und den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Richtlinien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Italienischen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Badmintonverbandes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erstellt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gilt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für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alle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Mitglieder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des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Verbandes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sowie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für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alle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Personen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>, die</w:t>
      </w:r>
    </w:p>
    <w:p w14:paraId="518F6062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die in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irgendeiner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Funktion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Rolle an den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Verbandes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teilnehmen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4716CAB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Das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Hauptziel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Modells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ist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Schaffung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eines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respektvollen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sicheren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</w:t>
      </w:r>
    </w:p>
    <w:p w14:paraId="0E62802A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schaffen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dabei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Würde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Integrität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gewährleisten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3DB8CE4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Besondere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Aufmerksamkeit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wird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dem Schutz von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Kindern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Jugendlichen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schutzbedürftigen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gewidmet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8B90B87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schutzbedürftige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. Dieses Modell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dient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auch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als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Leitfaden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Prävention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Bekämpfung</w:t>
      </w:r>
      <w:proofErr w:type="spellEnd"/>
    </w:p>
    <w:p w14:paraId="26654094" w14:textId="7DFC07E4" w:rsidR="0002222B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C16416">
        <w:rPr>
          <w:rFonts w:ascii="Arial" w:hAnsi="Arial" w:cs="Arial"/>
          <w:kern w:val="0"/>
          <w:sz w:val="24"/>
          <w:szCs w:val="24"/>
        </w:rPr>
        <w:t>aller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Formen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von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physischer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psychischer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oder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sexueller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Gewalt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aller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 xml:space="preserve"> Arten von </w:t>
      </w:r>
      <w:proofErr w:type="spellStart"/>
      <w:r w:rsidRPr="00C16416">
        <w:rPr>
          <w:rFonts w:ascii="Arial" w:hAnsi="Arial" w:cs="Arial"/>
          <w:kern w:val="0"/>
          <w:sz w:val="24"/>
          <w:szCs w:val="24"/>
        </w:rPr>
        <w:t>Diskriminierung</w:t>
      </w:r>
      <w:proofErr w:type="spellEnd"/>
      <w:r w:rsidRPr="00C16416">
        <w:rPr>
          <w:rFonts w:ascii="Arial" w:hAnsi="Arial" w:cs="Arial"/>
          <w:kern w:val="0"/>
          <w:sz w:val="24"/>
          <w:szCs w:val="24"/>
        </w:rPr>
        <w:t>.</w:t>
      </w:r>
    </w:p>
    <w:p w14:paraId="2F09D4F7" w14:textId="77777777" w:rsid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4FECB40A" w14:textId="10925847" w:rsidR="00C16416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2. </w:t>
      </w:r>
      <w:r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R</w:t>
      </w:r>
      <w:r w:rsidR="00C16416"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echte und </w:t>
      </w:r>
      <w:proofErr w:type="spellStart"/>
      <w:r w:rsidR="00C16416"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Pflichten</w:t>
      </w:r>
      <w:proofErr w:type="spellEnd"/>
      <w:r w:rsidR="00C16416"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der </w:t>
      </w:r>
      <w:proofErr w:type="spellStart"/>
      <w:r w:rsidR="00C16416"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Mitglieder</w:t>
      </w:r>
      <w:proofErr w:type="spellEnd"/>
      <w:r w:rsidR="00C16416"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</w:t>
      </w:r>
    </w:p>
    <w:p w14:paraId="29D34B15" w14:textId="5365DA4C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ind w:firstLine="708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Grundlegende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Rechte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aller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Mitglieder</w:t>
      </w:r>
      <w:proofErr w:type="spellEnd"/>
    </w:p>
    <w:p w14:paraId="29F41E7A" w14:textId="50525461" w:rsidR="00C16416" w:rsidRPr="00C16416" w:rsidRDefault="00C16416" w:rsidP="00C1641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Respekt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Würde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Jedes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Mitglied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hat das Recht auf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eine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respektvolle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faire und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diskriminierungsfreie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Behandlung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allen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Situationen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Kontexten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Vereinstätigkeit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1541EA7E" w14:textId="66F4DEAA" w:rsidR="00C16416" w:rsidRPr="00C16416" w:rsidRDefault="00C16416" w:rsidP="00C1641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Schutz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vor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Gewalt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Jede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Form von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Missbrauch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Belästigung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Diskriminierung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Gewalt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(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physisch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psychisch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sexuell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)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ist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verboten.</w:t>
      </w:r>
    </w:p>
    <w:p w14:paraId="1CCD91C8" w14:textId="0CC092F8" w:rsidR="00C16416" w:rsidRPr="00C16416" w:rsidRDefault="00C16416" w:rsidP="00C1641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Vorrang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der Gesundheit</w:t>
      </w: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Gesundheit und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psychophysisches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Wohlbefinden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müssen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immer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Vorrang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vor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sportlichen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Leistungen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haben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155E6D5E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Pflichten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der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Mitglieder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:</w:t>
      </w:r>
    </w:p>
    <w:p w14:paraId="62965C1B" w14:textId="0BDD8956" w:rsidR="00C16416" w:rsidRPr="00C16416" w:rsidRDefault="00C16416" w:rsidP="00C1641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Kenntnis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Einhaltung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dieses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Modells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des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Verhaltenskodexes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zur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Verhinderung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Gewalt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Diskriminierung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D58510C" w14:textId="49B26A9C" w:rsidR="00C16416" w:rsidRPr="00C16416" w:rsidRDefault="00C16416" w:rsidP="00C1641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Aktive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Förderung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Fair Play,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Respekt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Integration.</w:t>
      </w:r>
    </w:p>
    <w:p w14:paraId="521EA968" w14:textId="4FDB820C" w:rsidR="0002222B" w:rsidRPr="00C16416" w:rsidRDefault="00C16416" w:rsidP="00C16416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Meldung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Verdachtsfällen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unangemessenem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Verhalten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an die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zuständige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Person.</w:t>
      </w:r>
    </w:p>
    <w:p w14:paraId="0220023A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3B14610B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2.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Werte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und Philosophie des Vereins</w:t>
      </w:r>
    </w:p>
    <w:p w14:paraId="17DBB199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Der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Amateursportverband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Sportförderung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Bozen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steht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folgenden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grundlegenden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Werte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Prinzipien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:</w:t>
      </w:r>
    </w:p>
    <w:p w14:paraId="623902D0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402DC34C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- </w:t>
      </w:r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Fair Play</w:t>
      </w: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Respekt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vor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Regeln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Gegnern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Trainern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Schiedsrichtern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Veranstaltern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selbst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6AA1D5E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- </w:t>
      </w: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Solidarität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Gemeinschaftssinn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gegenseitige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Unterstützung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Grundpfeiler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unseres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Vereins.</w:t>
      </w:r>
    </w:p>
    <w:p w14:paraId="3735620F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- </w:t>
      </w: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Disziplin</w:t>
      </w:r>
      <w:proofErr w:type="spellEnd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Respekt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: Durch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sportliche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Betätigung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Eigenverantwortung,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Teamgeist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soziale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Kompetenz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gefördert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5FFBB29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- </w:t>
      </w: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Inklusion</w:t>
      </w:r>
      <w:proofErr w:type="spellEnd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b/>
          <w:bCs/>
          <w:kern w:val="0"/>
          <w:sz w:val="24"/>
          <w:szCs w:val="24"/>
          <w:lang w:val="en-US"/>
        </w:rPr>
        <w:t>Chancengleichheit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: Der Verein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garantiert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Zugang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allen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Menschen,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unabhängig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Herkunft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Geschlecht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Sprache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körperlicher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Verfassung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sozialem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Status.</w:t>
      </w:r>
    </w:p>
    <w:p w14:paraId="60A82AFC" w14:textId="0EBBC1FB" w:rsidR="0002222B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lastRenderedPageBreak/>
        <w:t>Insbesondere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Kinder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Jugendliche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dabei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unterstützt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ihrer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Fähigkeiten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bewusst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Verantwortung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für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andere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" w:hAnsi="Arial" w:cs="Arial"/>
          <w:kern w:val="0"/>
          <w:sz w:val="24"/>
          <w:szCs w:val="24"/>
          <w:lang w:val="en-US"/>
        </w:rPr>
        <w:t>übernehmen</w:t>
      </w:r>
      <w:proofErr w:type="spellEnd"/>
      <w:r w:rsidRPr="00C16416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C50D5E5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6EB8C9D5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3.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Prävention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und Management von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unangemessenem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Verhalten</w:t>
      </w:r>
      <w:proofErr w:type="spellEnd"/>
    </w:p>
    <w:p w14:paraId="4223D981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Relevante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Verhaltensweisen</w:t>
      </w:r>
      <w:proofErr w:type="spellEnd"/>
    </w:p>
    <w:p w14:paraId="745BFDB5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Zu den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vom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Modell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angesprochenen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unangemessenen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Verhaltensweisen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gehören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0820EC6A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</w:p>
    <w:p w14:paraId="721A4219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Psychische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Gewalt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Demütigung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Isolation,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Einschüchterung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digitale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Belästigung</w:t>
      </w:r>
      <w:proofErr w:type="spellEnd"/>
    </w:p>
    <w:p w14:paraId="74669DA2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(z. B.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Cybermobbing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).</w:t>
      </w:r>
    </w:p>
    <w:p w14:paraId="1FBA4711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2.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Physische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Gewalt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Alle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Formen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Körperverletzung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erzwungene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</w:t>
      </w:r>
    </w:p>
    <w:p w14:paraId="48450A5A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unangemessen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1BAAFADC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Sexuelle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Belästigung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Missbrauch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unerwünschtes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manipulatives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Verhalten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sexueller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Natur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09668D70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4.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Diskriminierung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Ungleiche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Behandlung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aufgrund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ethnischer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Zugehörigkeit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Alter,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Geschlecht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körperlichen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Fähigkeiten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anderen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Merkmalen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E4CA80D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5.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Vernachlässigung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Unterlassene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Hilfeleistung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Unterstützung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Personen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unter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Vormundschaft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1DD7D490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6.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Religiöse</w:t>
      </w:r>
      <w:proofErr w:type="spellEnd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Diskriminierung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Einschränkung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des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Rechts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auf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Religionsfreiheit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C0269FB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7. </w:t>
      </w:r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Mobbing und </w:t>
      </w:r>
      <w:proofErr w:type="spellStart"/>
      <w:r w:rsidRPr="00C16416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Cybermobbing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Wiederholte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Einschüchterung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Ausgrenzung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in der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realen</w:t>
      </w:r>
      <w:proofErr w:type="spellEnd"/>
    </w:p>
    <w:p w14:paraId="03A8C1F1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digitalen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Umfeld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C24E27C" w14:textId="77777777" w:rsidR="00C16416" w:rsidRPr="0085375D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proofErr w:type="spellStart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Meldung</w:t>
      </w:r>
      <w:proofErr w:type="spellEnd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Verfahren</w:t>
      </w:r>
      <w:proofErr w:type="spellEnd"/>
    </w:p>
    <w:p w14:paraId="2E11A822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-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Verdachtsfälle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unangemessenes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Verhalten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müssen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unverzüglich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für den Schutz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zuständigen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Person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gemeldet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werden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66BE834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-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Meldungen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können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vertraulich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gemacht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werden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über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24B81A83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</w:rPr>
      </w:pPr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o </w:t>
      </w:r>
      <w:r w:rsidRPr="0085375D">
        <w:rPr>
          <w:rFonts w:ascii="Arial-BoldMT" w:hAnsi="Arial-BoldMT" w:cs="Arial-BoldMT"/>
          <w:b/>
          <w:bCs/>
          <w:kern w:val="0"/>
          <w:sz w:val="24"/>
          <w:szCs w:val="24"/>
        </w:rPr>
        <w:t>E-Mail</w:t>
      </w:r>
      <w:r w:rsidRPr="00C16416">
        <w:rPr>
          <w:rFonts w:ascii="Arial-BoldMT" w:hAnsi="Arial-BoldMT" w:cs="Arial-BoldMT"/>
          <w:kern w:val="0"/>
          <w:sz w:val="24"/>
          <w:szCs w:val="24"/>
        </w:rPr>
        <w:t>: fellinfamily@libero.it</w:t>
      </w:r>
    </w:p>
    <w:p w14:paraId="45DDE4BD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o </w:t>
      </w:r>
      <w:proofErr w:type="spellStart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Persönliche</w:t>
      </w:r>
      <w:proofErr w:type="spellEnd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85375D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Gespräche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Safeguarding-Person.</w:t>
      </w:r>
    </w:p>
    <w:p w14:paraId="6C9CF5A2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- In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dringenden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schwerwiegenden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Fällen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wird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italienische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Badmintonverband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>informiert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und, falls</w:t>
      </w:r>
    </w:p>
    <w:p w14:paraId="62759803" w14:textId="5C8832EC" w:rsidR="0002222B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</w:rPr>
      </w:pPr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die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zuständigen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Behörden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wie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z.B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. die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Polizei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 xml:space="preserve">, </w:t>
      </w:r>
      <w:proofErr w:type="spellStart"/>
      <w:r w:rsidRPr="00C16416">
        <w:rPr>
          <w:rFonts w:ascii="Arial-BoldMT" w:hAnsi="Arial-BoldMT" w:cs="Arial-BoldMT"/>
          <w:kern w:val="0"/>
          <w:sz w:val="24"/>
          <w:szCs w:val="24"/>
        </w:rPr>
        <w:t>informiert</w:t>
      </w:r>
      <w:proofErr w:type="spellEnd"/>
      <w:r w:rsidRPr="00C16416">
        <w:rPr>
          <w:rFonts w:ascii="Arial-BoldMT" w:hAnsi="Arial-BoldMT" w:cs="Arial-BoldMT"/>
          <w:kern w:val="0"/>
          <w:sz w:val="24"/>
          <w:szCs w:val="24"/>
        </w:rPr>
        <w:t>.</w:t>
      </w:r>
    </w:p>
    <w:p w14:paraId="666851B7" w14:textId="77777777" w:rsidR="00C16416" w:rsidRPr="00C16416" w:rsidRDefault="00C16416" w:rsidP="00C164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31D1CCC8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4.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Absicherung</w:t>
      </w:r>
      <w:proofErr w:type="spellEnd"/>
    </w:p>
    <w:p w14:paraId="58A9E401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Für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Umsetzung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Modells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den Schutz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Mitglieder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ernennt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Vereinigung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eine</w:t>
      </w:r>
      <w:proofErr w:type="spellEnd"/>
    </w:p>
    <w:p w14:paraId="089CE1EB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Sicherheitsbeauftragten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0593A8E6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Aufgaben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:</w:t>
      </w:r>
    </w:p>
    <w:p w14:paraId="0CC33FB2" w14:textId="1ADEBBF0" w:rsidR="00280D99" w:rsidRPr="00280D99" w:rsidRDefault="00280D99" w:rsidP="00280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Prävention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Schulung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Mitglieder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Sensibilisierung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für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Themen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wie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Gewalt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Diskriminierung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96F55B9" w14:textId="1E17E313" w:rsidR="00280D99" w:rsidRPr="00280D99" w:rsidRDefault="00280D99" w:rsidP="00280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Intervention</w:t>
      </w: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Entgegennahme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Meldungen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Dokumentation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Koordination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Folgemaßnahmen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F386DAC" w14:textId="30FE7D66" w:rsidR="00280D99" w:rsidRPr="00280D99" w:rsidRDefault="00280D99" w:rsidP="00280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Zusammenarbeit</w:t>
      </w: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Einbindung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Fachstellen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falls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erforderlich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2D46D06" w14:textId="0FACB876" w:rsidR="00280D99" w:rsidRPr="00280D99" w:rsidRDefault="00280D99" w:rsidP="00280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Wahrung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Vertraulichkeit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Sicherstellung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dass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alle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Meldungen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unter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Wahrung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Privatsphäre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betroffenen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Personen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bearbeitet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werden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2D60DBB" w14:textId="1A675DAB" w:rsidR="0002222B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Die für den Schutz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zuständige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Person muss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über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besondere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Kompetenzen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Erfahrung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Unabhängigkeit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verfügen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167AC806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6F10BACB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5.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Schutzmaßnahmen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im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Vereinsleben</w:t>
      </w:r>
      <w:proofErr w:type="spellEnd"/>
    </w:p>
    <w:p w14:paraId="6FDAF27B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Nutzung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Trainingseinrichtungen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Zugang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Trainingseinrichtungen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muss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während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Sitzungen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minderjährigen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Mitgliedern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Erziehungsberechtigten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für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Aufsicht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Verantwortlichen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gewährt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werden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. 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sind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alle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erforderlichen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Maßnahmen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ergreifen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um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gefährliche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Situationen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vermeiden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.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Während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des </w:t>
      </w: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lastRenderedPageBreak/>
        <w:t xml:space="preserve">Trainings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ist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Zugang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Umkleideräumen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nur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Mitgliedern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gestattet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.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Eltern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Dritte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dürfen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nur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vorheriger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Genehmigung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Zutritt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erhalten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D9558E3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2. </w:t>
      </w: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Transfer</w:t>
      </w: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Bei Transfers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Übernachtung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müssen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Athleten</w:t>
      </w:r>
      <w:proofErr w:type="spellEnd"/>
    </w:p>
    <w:p w14:paraId="257FCE37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getrennt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Trainern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oder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Begleitpersonen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untergebracht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werden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es sei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denn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handelt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um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enge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Verwandte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. 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ist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Pflicht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Begleitperson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(en),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Minderjährigen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beaufsichtigen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für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ihre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Sicherheit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sorgen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316CDFA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Schutz der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Privatsphäre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Umgang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personenbezogenen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Daten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erfolgt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Übereinstimmung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</w:p>
    <w:p w14:paraId="71281A42" w14:textId="0CE8B9EE" w:rsidR="0002222B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Artikel 13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Europäischen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Verordnung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679/2016 (GDPR).</w:t>
      </w:r>
    </w:p>
    <w:p w14:paraId="2E72BC7F" w14:textId="77777777" w:rsidR="0002222B" w:rsidRPr="00280D99" w:rsidRDefault="0002222B" w:rsidP="000222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3135C365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6.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Sanktionen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für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unangemessenes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Verhalten</w:t>
      </w:r>
      <w:proofErr w:type="spellEnd"/>
    </w:p>
    <w:p w14:paraId="7695BEFF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Ein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Verhalten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das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die in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diesem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Muster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festgelegten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Regeln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verstößt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zieht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abgestufte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Sanktionen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nach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69CD3D83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Mündliche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Verwarnung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(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bei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geringfügigen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Verstößen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)</w:t>
      </w:r>
    </w:p>
    <w:p w14:paraId="01BDB49E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2.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Schriftliche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Verwarnung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(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im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Wiederholungsfall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)</w:t>
      </w:r>
    </w:p>
    <w:p w14:paraId="65C6C5B2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Vorübergehender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Ausschluss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Vereinsaktivitäten</w:t>
      </w:r>
      <w:proofErr w:type="spellEnd"/>
    </w:p>
    <w:p w14:paraId="159B35A1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4</w:t>
      </w: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Dauerhafter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Ausschluss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bei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schwerwiegendem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Verhalten</w:t>
      </w:r>
      <w:proofErr w:type="spellEnd"/>
    </w:p>
    <w:p w14:paraId="7E65248C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Art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Schwere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Sanktion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richten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nach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Schwere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Verhaltens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, der</w:t>
      </w:r>
    </w:p>
    <w:p w14:paraId="50238657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Rolle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betreffenden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Person und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Wiederholung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von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Verstößen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6CE6BE9E" w14:textId="77777777" w:rsid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677FFB21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7.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Kommunikation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 und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Ausbildung</w:t>
      </w:r>
      <w:proofErr w:type="spellEnd"/>
    </w:p>
    <w:p w14:paraId="33D20DA3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Vereinigung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verpflichtet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dazu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1C61E83B" w14:textId="1DB278E0" w:rsidR="00280D99" w:rsidRPr="00280D99" w:rsidRDefault="00280D99" w:rsidP="00280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dieses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Leitbild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allen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Mitgliedern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auf der Website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zugänglich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machen</w:t>
      </w:r>
      <w:proofErr w:type="spellEnd"/>
    </w:p>
    <w:p w14:paraId="7316D3E1" w14:textId="0DC0A63A" w:rsidR="00280D99" w:rsidRPr="00280D99" w:rsidRDefault="00280D99" w:rsidP="00280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regelmäßige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Sensibilisierungs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- und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Schulungsmaßnahmen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organisieren</w:t>
      </w:r>
      <w:proofErr w:type="spellEnd"/>
    </w:p>
    <w:p w14:paraId="0EE08B79" w14:textId="10EFE570" w:rsidR="00280D99" w:rsidRPr="00280D99" w:rsidRDefault="00280D99" w:rsidP="00280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eine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Kultur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offenen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Kommunikation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fördern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in der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Kinder,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Jugendliche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</w:t>
      </w: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Erwachsene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sicher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fühlen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575354A8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</w:p>
    <w:p w14:paraId="32E3979C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proofErr w:type="spellStart"/>
      <w:r w:rsidRPr="00280D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Schlussbestimmungen</w:t>
      </w:r>
      <w:proofErr w:type="spellEnd"/>
    </w:p>
    <w:p w14:paraId="7A268A60" w14:textId="2191E05E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Dieses Modell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wird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regelmäßig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überprüft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und, falls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erforderlich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aktualisiert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um die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Übereinstimmung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mit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aktuellen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Vorschriften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und den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Bedürfnissen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des Vereins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gewährleisten</w:t>
      </w:r>
      <w:proofErr w:type="spellEnd"/>
      <w:r w:rsidRPr="00280D99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33976C6D" w14:textId="77777777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53276CA2" w14:textId="53362606" w:rsidR="00280D99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Die A.S.D.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Sport Promotion Bolzano</w:t>
      </w: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verpflichtet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sich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zu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Fairness,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Respekt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und</w:t>
      </w:r>
    </w:p>
    <w:p w14:paraId="70E9E2B6" w14:textId="2A7F774B" w:rsidR="00624DFC" w:rsidRPr="00280D99" w:rsidRDefault="00280D99" w:rsidP="00280D9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Schutz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ihrer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Mitglieder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verpflichtet</w:t>
      </w:r>
      <w:proofErr w:type="spellEnd"/>
      <w:r w:rsidRPr="00280D99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.</w:t>
      </w:r>
    </w:p>
    <w:sectPr w:rsidR="00624DFC" w:rsidRPr="00280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0372"/>
    <w:multiLevelType w:val="hybridMultilevel"/>
    <w:tmpl w:val="C798A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435B"/>
    <w:multiLevelType w:val="hybridMultilevel"/>
    <w:tmpl w:val="6E4CD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B1C"/>
    <w:multiLevelType w:val="hybridMultilevel"/>
    <w:tmpl w:val="5B261BB8"/>
    <w:lvl w:ilvl="0" w:tplc="A1221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047C"/>
    <w:multiLevelType w:val="hybridMultilevel"/>
    <w:tmpl w:val="FD043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0B8F"/>
    <w:multiLevelType w:val="hybridMultilevel"/>
    <w:tmpl w:val="977A9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D1AC8"/>
    <w:multiLevelType w:val="hybridMultilevel"/>
    <w:tmpl w:val="991C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4701">
    <w:abstractNumId w:val="0"/>
  </w:num>
  <w:num w:numId="2" w16cid:durableId="1866215185">
    <w:abstractNumId w:val="2"/>
  </w:num>
  <w:num w:numId="3" w16cid:durableId="814836649">
    <w:abstractNumId w:val="5"/>
  </w:num>
  <w:num w:numId="4" w16cid:durableId="1790927756">
    <w:abstractNumId w:val="1"/>
  </w:num>
  <w:num w:numId="5" w16cid:durableId="60180520">
    <w:abstractNumId w:val="4"/>
  </w:num>
  <w:num w:numId="6" w16cid:durableId="1123963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2B"/>
    <w:rsid w:val="0002222B"/>
    <w:rsid w:val="00067535"/>
    <w:rsid w:val="000D1B72"/>
    <w:rsid w:val="00280D99"/>
    <w:rsid w:val="002D5A92"/>
    <w:rsid w:val="00375F3E"/>
    <w:rsid w:val="0039234F"/>
    <w:rsid w:val="004B3EE6"/>
    <w:rsid w:val="004E0F28"/>
    <w:rsid w:val="00605FAC"/>
    <w:rsid w:val="00624DFC"/>
    <w:rsid w:val="006329C9"/>
    <w:rsid w:val="0085375D"/>
    <w:rsid w:val="00945E44"/>
    <w:rsid w:val="00A83861"/>
    <w:rsid w:val="00C16416"/>
    <w:rsid w:val="00CF6FF4"/>
    <w:rsid w:val="00E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515E"/>
  <w15:chartTrackingRefBased/>
  <w15:docId w15:val="{A017F40B-23F1-4119-960E-89FE889D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2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2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2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2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2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2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2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22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2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2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Hamza</dc:creator>
  <cp:keywords/>
  <dc:description/>
  <cp:lastModifiedBy>Csaba Hamza</cp:lastModifiedBy>
  <cp:revision>3</cp:revision>
  <dcterms:created xsi:type="dcterms:W3CDTF">2025-02-03T11:30:00Z</dcterms:created>
  <dcterms:modified xsi:type="dcterms:W3CDTF">2025-02-03T15:25:00Z</dcterms:modified>
</cp:coreProperties>
</file>